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A1C" w:rsidRDefault="00C959EA" w:rsidP="00C959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ARGUMENTAIRE SUR LE PHÉNOMENE DU HARCELEMENT</w:t>
      </w:r>
    </w:p>
    <w:p w:rsidR="00C959EA" w:rsidRPr="008F7BAB" w:rsidRDefault="00C959EA" w:rsidP="008F7B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10B1" w:rsidRDefault="00C959EA" w:rsidP="008F7B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BAB">
        <w:rPr>
          <w:rFonts w:ascii="Times New Roman" w:hAnsi="Times New Roman" w:cs="Times New Roman"/>
          <w:sz w:val="24"/>
          <w:szCs w:val="24"/>
        </w:rPr>
        <w:tab/>
      </w:r>
      <w:r w:rsidR="00CE10B1">
        <w:rPr>
          <w:rFonts w:ascii="Times New Roman" w:hAnsi="Times New Roman" w:cs="Times New Roman"/>
          <w:sz w:val="24"/>
          <w:szCs w:val="24"/>
        </w:rPr>
        <w:t>La Société Bretonne de Psycho-Criminologie et Psycho-Victimologie (SBPCPV) avance dans l’objectif d’apporter un regard psycho-criminologique sur différents axes de travail. L’un d’eux est le harcèlement, ou les harcèlements. Dans cette optique, une première soirée des Lectures psycho-criminologiques a été mise en place le 30 janvier 2018, elle s’intitulait « Le Harcèlement dans tous ses états … ». Au cours de l’ann</w:t>
      </w:r>
      <w:r w:rsidR="00D41238">
        <w:rPr>
          <w:rFonts w:ascii="Times New Roman" w:hAnsi="Times New Roman" w:cs="Times New Roman"/>
          <w:sz w:val="24"/>
          <w:szCs w:val="24"/>
        </w:rPr>
        <w:t>ée 2018, il y aura quatre autres</w:t>
      </w:r>
      <w:r w:rsidR="00CE10B1">
        <w:rPr>
          <w:rFonts w:ascii="Times New Roman" w:hAnsi="Times New Roman" w:cs="Times New Roman"/>
          <w:sz w:val="24"/>
          <w:szCs w:val="24"/>
        </w:rPr>
        <w:t xml:space="preserve"> soirées des Lectures psycho-criminologiques sur cette thématique, ce qui va être présenté.</w:t>
      </w:r>
    </w:p>
    <w:p w:rsidR="008F7BAB" w:rsidRDefault="008F7BAB" w:rsidP="00CE10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allons étudier le phénomène du harcèlement en débutant par un recueil d’informations sur les représentations sociales que </w:t>
      </w:r>
      <w:r w:rsidR="00CE10B1">
        <w:rPr>
          <w:rFonts w:ascii="Times New Roman" w:hAnsi="Times New Roman" w:cs="Times New Roman"/>
          <w:sz w:val="24"/>
          <w:szCs w:val="24"/>
        </w:rPr>
        <w:t>la société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238">
        <w:rPr>
          <w:rFonts w:ascii="Times New Roman" w:hAnsi="Times New Roman" w:cs="Times New Roman"/>
          <w:sz w:val="24"/>
          <w:szCs w:val="24"/>
        </w:rPr>
        <w:t>peut</w:t>
      </w:r>
      <w:r>
        <w:rPr>
          <w:rFonts w:ascii="Times New Roman" w:hAnsi="Times New Roman" w:cs="Times New Roman"/>
          <w:sz w:val="24"/>
          <w:szCs w:val="24"/>
        </w:rPr>
        <w:t xml:space="preserve"> en avoir.</w:t>
      </w:r>
    </w:p>
    <w:p w:rsidR="00C959EA" w:rsidRPr="008F7BAB" w:rsidRDefault="00C959EA" w:rsidP="008F7B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BAB">
        <w:rPr>
          <w:rFonts w:ascii="Times New Roman" w:hAnsi="Times New Roman" w:cs="Times New Roman"/>
          <w:sz w:val="24"/>
          <w:szCs w:val="24"/>
        </w:rPr>
        <w:t xml:space="preserve">Le harcèlement est un phénomène de plus en plus </w:t>
      </w:r>
      <w:r w:rsidR="00E75D74" w:rsidRPr="008F7BAB">
        <w:rPr>
          <w:rFonts w:ascii="Times New Roman" w:hAnsi="Times New Roman" w:cs="Times New Roman"/>
          <w:sz w:val="24"/>
          <w:szCs w:val="24"/>
        </w:rPr>
        <w:t>médiatisé</w:t>
      </w:r>
      <w:r w:rsidRPr="008F7BAB">
        <w:rPr>
          <w:rFonts w:ascii="Times New Roman" w:hAnsi="Times New Roman" w:cs="Times New Roman"/>
          <w:sz w:val="24"/>
          <w:szCs w:val="24"/>
        </w:rPr>
        <w:t xml:space="preserve"> dans nos sociétés. Qu’il soit au sein du couple, en milieu scolaire, en milieu professionnel ou dans la vie quotidienne, le harcèlement </w:t>
      </w:r>
      <w:r w:rsidR="00CE10B1">
        <w:rPr>
          <w:rFonts w:ascii="Times New Roman" w:hAnsi="Times New Roman" w:cs="Times New Roman"/>
          <w:sz w:val="24"/>
          <w:szCs w:val="24"/>
        </w:rPr>
        <w:t>se voit dans différents lieux</w:t>
      </w:r>
      <w:r w:rsidR="00FA035C" w:rsidRPr="008F7BAB">
        <w:rPr>
          <w:rFonts w:ascii="Times New Roman" w:hAnsi="Times New Roman" w:cs="Times New Roman"/>
          <w:sz w:val="24"/>
          <w:szCs w:val="24"/>
        </w:rPr>
        <w:t>.</w:t>
      </w:r>
    </w:p>
    <w:p w:rsidR="00C959EA" w:rsidRPr="000E5641" w:rsidRDefault="00C959EA" w:rsidP="008F7BA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BAB">
        <w:rPr>
          <w:rFonts w:ascii="Times New Roman" w:hAnsi="Times New Roman" w:cs="Times New Roman"/>
          <w:sz w:val="24"/>
          <w:szCs w:val="24"/>
        </w:rPr>
        <w:tab/>
        <w:t xml:space="preserve">La définition du harcèlement, dans sa généralité, se réfère à la </w:t>
      </w:r>
      <w:r w:rsidRPr="008F7BAB">
        <w:rPr>
          <w:rFonts w:ascii="Times New Roman" w:hAnsi="Times New Roman" w:cs="Times New Roman"/>
          <w:i/>
          <w:sz w:val="24"/>
          <w:szCs w:val="24"/>
        </w:rPr>
        <w:t>poursuite incessante qui fait subir des désagréments physiques</w:t>
      </w:r>
      <w:r w:rsidRPr="008F7BAB">
        <w:rPr>
          <w:rFonts w:ascii="Times New Roman" w:hAnsi="Times New Roman" w:cs="Times New Roman"/>
          <w:sz w:val="24"/>
          <w:szCs w:val="24"/>
        </w:rPr>
        <w:t xml:space="preserve">. En situation de guerre, cela se réfère au fait </w:t>
      </w:r>
      <w:r w:rsidRPr="008F7BAB">
        <w:rPr>
          <w:rFonts w:ascii="Times New Roman" w:hAnsi="Times New Roman" w:cs="Times New Roman"/>
          <w:i/>
          <w:sz w:val="24"/>
          <w:szCs w:val="24"/>
        </w:rPr>
        <w:t>d’épuiser l’ennemi par des attaques incessantes afin de le rendre vulnérable</w:t>
      </w:r>
      <w:r w:rsidR="00D41238" w:rsidRPr="000E5641">
        <w:rPr>
          <w:rFonts w:ascii="Times New Roman" w:hAnsi="Times New Roman" w:cs="Times New Roman"/>
          <w:i/>
          <w:sz w:val="24"/>
          <w:szCs w:val="24"/>
        </w:rPr>
        <w:t>. (</w:t>
      </w:r>
      <w:r w:rsidR="000E5641" w:rsidRPr="000E5641">
        <w:rPr>
          <w:rFonts w:ascii="Times New Roman" w:hAnsi="Times New Roman" w:cs="Times New Roman"/>
          <w:i/>
          <w:sz w:val="24"/>
          <w:szCs w:val="24"/>
        </w:rPr>
        <w:t>1)</w:t>
      </w:r>
    </w:p>
    <w:p w:rsidR="00C959EA" w:rsidRDefault="00C959EA" w:rsidP="008F7B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7BAB">
        <w:rPr>
          <w:rFonts w:ascii="Times New Roman" w:hAnsi="Times New Roman" w:cs="Times New Roman"/>
          <w:sz w:val="24"/>
          <w:szCs w:val="24"/>
        </w:rPr>
        <w:tab/>
        <w:t xml:space="preserve">Cette définition générale a pris des formes plus complexes et précises en fonction de la situation. Sur le plan scolaire, le harcèlement se définit </w:t>
      </w:r>
      <w:r w:rsidRPr="008F7B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comme </w:t>
      </w:r>
      <w:r w:rsidRPr="008F7BA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une violence répétée qui peut être verbale, physique ou psychologique avec l’intention de nuire. Elle est le fait d'un ou de plusieurs élèves à l'encontre d'une victime qui ne peut se défendre</w:t>
      </w:r>
      <w:r w:rsidRPr="000E56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0E5641" w:rsidRPr="000E56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(2)</w:t>
      </w:r>
      <w:r w:rsidRPr="008F7B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9755A" w:rsidRPr="008F7B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Concernant le harcèlement moral en milieu professionnel, le Code du Travail le définit comme </w:t>
      </w:r>
      <w:r w:rsidR="0009755A" w:rsidRPr="008F7BA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des</w:t>
      </w:r>
      <w:r w:rsidR="0009755A" w:rsidRPr="008F7BAB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09755A" w:rsidRPr="008F7BAB">
        <w:rPr>
          <w:rStyle w:val="lev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propos ou comportements répétés</w:t>
      </w:r>
      <w:r w:rsidR="0009755A" w:rsidRPr="008F7BAB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09755A" w:rsidRPr="008F7BA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ayant pour objet ou pour effet une</w:t>
      </w:r>
      <w:r w:rsidR="0009755A" w:rsidRPr="008F7BAB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09755A" w:rsidRPr="008F7BAB">
        <w:rPr>
          <w:rStyle w:val="lev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dégradation des conditions de travail</w:t>
      </w:r>
      <w:r w:rsidR="0009755A" w:rsidRPr="008F7BAB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09755A" w:rsidRPr="008F7BA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susceptible de </w:t>
      </w:r>
      <w:r w:rsidR="0009755A" w:rsidRPr="008F7BAB">
        <w:rPr>
          <w:rStyle w:val="lev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porter atteinte aux droits et à la dignité d'une personne</w:t>
      </w:r>
      <w:r w:rsidR="0009755A" w:rsidRPr="008F7BA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d'</w:t>
      </w:r>
      <w:r w:rsidR="0009755A" w:rsidRPr="008F7BAB">
        <w:rPr>
          <w:rStyle w:val="lev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 xml:space="preserve">altérer la santé </w:t>
      </w:r>
      <w:r w:rsidR="0009755A" w:rsidRPr="008F7BA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physique ou mentale de celle-ci ou de</w:t>
      </w:r>
      <w:r w:rsidR="0009755A" w:rsidRPr="008F7BAB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09755A" w:rsidRPr="008F7BAB">
        <w:rPr>
          <w:rStyle w:val="lev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compromettre son avenir professionnel</w:t>
      </w:r>
      <w:r w:rsidR="0009755A" w:rsidRPr="008F7B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E56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(3)</w:t>
      </w:r>
      <w:r w:rsidR="0009755A" w:rsidRPr="008F7B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Concernant le harcèlement au sein du couple, il n’y a pas de définition précise mais une liste de comportements qui sont recensés et pris en fonction des autres définitions précédemment citées.  On y trouve </w:t>
      </w:r>
      <w:r w:rsidR="0009755A" w:rsidRPr="008F7BA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des agressions et menaces verbales mais aussi des actions de contrôle ou d’autorité ou encore des attitudes de dénigrement et de mépris</w:t>
      </w:r>
      <w:r w:rsidR="0009755A" w:rsidRPr="008F7B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167A4" w:rsidRPr="004167A4" w:rsidRDefault="004167A4" w:rsidP="008F7BA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ab/>
        <w:t xml:space="preserve">Et sur le plan juridique, chaque article relatif au harcèlement traite des conséquences sur la victime notamment la </w:t>
      </w:r>
      <w:r w:rsidRPr="004167A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 dégradation de ses conditions de vie 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 une </w:t>
      </w:r>
      <w:r w:rsidRPr="004167A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 altération de sa santé psychique 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(4)</w:t>
      </w:r>
    </w:p>
    <w:p w:rsidR="00464F4E" w:rsidRDefault="0009755A" w:rsidP="008F7B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7BA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Ce travail aura pour objectif de</w:t>
      </w:r>
      <w:r w:rsidR="00464F4E"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</w:p>
    <w:p w:rsidR="00464F4E" w:rsidRPr="00464F4E" w:rsidRDefault="00464F4E" w:rsidP="00464F4E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09755A" w:rsidRPr="00464F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ettre en évidence les points de convergence qui se repèrent au sein de ces différentes définitions </w:t>
      </w:r>
      <w:r w:rsidR="00E75D74" w:rsidRPr="00464F4E">
        <w:rPr>
          <w:rFonts w:ascii="Times New Roman" w:hAnsi="Times New Roman" w:cs="Times New Roman"/>
          <w:sz w:val="24"/>
          <w:szCs w:val="24"/>
          <w:shd w:val="clear" w:color="auto" w:fill="FFFFFF"/>
        </w:rPr>
        <w:t>à</w:t>
      </w:r>
      <w:r w:rsidR="0009755A" w:rsidRPr="00464F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travers di</w:t>
      </w:r>
      <w:r w:rsidR="00E75D74" w:rsidRPr="00464F4E">
        <w:rPr>
          <w:rFonts w:ascii="Times New Roman" w:hAnsi="Times New Roman" w:cs="Times New Roman"/>
          <w:sz w:val="24"/>
          <w:szCs w:val="24"/>
          <w:shd w:val="clear" w:color="auto" w:fill="FFFFFF"/>
        </w:rPr>
        <w:t>ver</w:t>
      </w:r>
      <w:r w:rsidR="0009755A" w:rsidRPr="00464F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cas cliniques qui s’orienteront sur </w:t>
      </w:r>
      <w:r w:rsidR="00E75D74" w:rsidRPr="00464F4E">
        <w:rPr>
          <w:rFonts w:ascii="Times New Roman" w:hAnsi="Times New Roman" w:cs="Times New Roman"/>
          <w:sz w:val="24"/>
          <w:szCs w:val="24"/>
          <w:shd w:val="clear" w:color="auto" w:fill="FFFFFF"/>
        </w:rPr>
        <w:t>plusieurs</w:t>
      </w:r>
      <w:r w:rsidR="0009755A" w:rsidRPr="00464F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situations </w:t>
      </w:r>
      <w:r w:rsidR="00E75D74" w:rsidRPr="00464F4E">
        <w:rPr>
          <w:rFonts w:ascii="Times New Roman" w:hAnsi="Times New Roman" w:cs="Times New Roman"/>
          <w:sz w:val="24"/>
          <w:szCs w:val="24"/>
          <w:shd w:val="clear" w:color="auto" w:fill="FFFFFF"/>
        </w:rPr>
        <w:t>de harcèlement</w:t>
      </w:r>
      <w:r w:rsidR="008F7BAB" w:rsidRPr="00464F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nous pouvons rencontrer dans nos pratiques professionnelles respectives</w:t>
      </w:r>
      <w:r w:rsidR="00E75D74" w:rsidRPr="00464F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464F4E" w:rsidRPr="00464F4E" w:rsidRDefault="00464F4E" w:rsidP="00464F4E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F4E">
        <w:rPr>
          <w:rFonts w:ascii="Times New Roman" w:hAnsi="Times New Roman" w:cs="Times New Roman"/>
          <w:sz w:val="24"/>
          <w:szCs w:val="24"/>
          <w:shd w:val="clear" w:color="auto" w:fill="FFFFFF"/>
        </w:rPr>
        <w:t>Nous interrogerons</w:t>
      </w:r>
      <w:r w:rsidR="00E75D74" w:rsidRPr="00464F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définition acceptée juridiquem</w:t>
      </w:r>
      <w:r w:rsidRPr="00464F4E">
        <w:rPr>
          <w:rFonts w:ascii="Times New Roman" w:hAnsi="Times New Roman" w:cs="Times New Roman"/>
          <w:sz w:val="24"/>
          <w:szCs w:val="24"/>
          <w:shd w:val="clear" w:color="auto" w:fill="FFFFFF"/>
        </w:rPr>
        <w:t>ent qu’est l’intention de nuire et ses impacts à la fois sur l’auteur et la victime.</w:t>
      </w:r>
      <w:r w:rsidR="00E75D74" w:rsidRPr="00464F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64F4E">
        <w:rPr>
          <w:rFonts w:ascii="Times New Roman" w:hAnsi="Times New Roman" w:cs="Times New Roman"/>
          <w:sz w:val="24"/>
          <w:szCs w:val="24"/>
          <w:shd w:val="clear" w:color="auto" w:fill="FFFFFF"/>
        </w:rPr>
        <w:t>Ce qui pourrait ressortir des différentes formes de harcèlement serait la relation d’emprise qui s’institue dans les liens entre les différents acteurs</w:t>
      </w:r>
      <w:r w:rsidR="00E75D74" w:rsidRPr="00464F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F7BAB" w:rsidRPr="00464F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64F4E" w:rsidRPr="00464F4E" w:rsidRDefault="008F7BAB" w:rsidP="00464F4E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F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L’important sera de mettre en évidence les liens qui se créent entre les différents acteurs lors d’un harcèlement, à savoir l’auteur, la victime, les témoins et les différents professionnels pouvant intervenir. </w:t>
      </w:r>
    </w:p>
    <w:p w:rsidR="00CE10B1" w:rsidRPr="00C1495C" w:rsidRDefault="008F7BAB" w:rsidP="00C60207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F4E">
        <w:rPr>
          <w:rFonts w:ascii="Times New Roman" w:hAnsi="Times New Roman" w:cs="Times New Roman"/>
          <w:sz w:val="24"/>
          <w:szCs w:val="24"/>
          <w:shd w:val="clear" w:color="auto" w:fill="FFFFFF"/>
        </w:rPr>
        <w:t>De plus, il sera traité</w:t>
      </w:r>
      <w:r w:rsidR="00CE10B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464F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manière dont ces professionnels se saisissent afin d’arrêter la situation du harcèlement et quels moyens ils mettent en place afin d’accompagner ces différents acteurs, et de percevoir les enjeux institutionnels.  </w:t>
      </w:r>
    </w:p>
    <w:p w:rsidR="00C1495C" w:rsidRDefault="00C1495C" w:rsidP="00C1495C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495C" w:rsidRDefault="00C1495C" w:rsidP="00C1495C">
      <w:pPr>
        <w:pStyle w:val="Paragraphedeliste"/>
        <w:spacing w:after="0" w:line="360" w:lineRule="auto"/>
        <w:ind w:firstLine="6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L’objectif de ces Lectures psycho-criminologiques sur les harcèlements sera de permettre à la société présente de prendre du recul par rapport à leurs représentations qu’ils se font du harcèlement. Il sera important de mettre en évidence un phénomène d’imposture qui se joue entre l’auteur et la victime, et de percevoir les enjeux à la fois psychologiques, sociaux, moraux et juridiques que cela emporte chez eux et pour la société. Enfin, la pensée psycho-criminologique pourra permettre une sensibilisation sur le phénomène par un regard différent et plus global au regard de la complexité de ce phénomène.</w:t>
      </w:r>
    </w:p>
    <w:p w:rsidR="00057702" w:rsidRPr="00057702" w:rsidRDefault="00057702" w:rsidP="00057702">
      <w:pPr>
        <w:pStyle w:val="Paragraphedeliste"/>
        <w:spacing w:after="0" w:line="360" w:lineRule="auto"/>
        <w:ind w:firstLine="69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57702">
        <w:rPr>
          <w:rFonts w:ascii="Times New Roman" w:hAnsi="Times New Roman" w:cs="Times New Roman"/>
          <w:sz w:val="24"/>
          <w:szCs w:val="24"/>
        </w:rPr>
        <w:t xml:space="preserve">Janvier </w:t>
      </w:r>
      <w:r w:rsidRPr="00057702">
        <w:rPr>
          <w:rFonts w:ascii="Times New Roman" w:hAnsi="Times New Roman" w:cs="Times New Roman"/>
          <w:sz w:val="24"/>
          <w:szCs w:val="24"/>
        </w:rPr>
        <w:t>201</w:t>
      </w:r>
      <w:r w:rsidRPr="00057702">
        <w:rPr>
          <w:rFonts w:ascii="Times New Roman" w:hAnsi="Times New Roman" w:cs="Times New Roman"/>
          <w:sz w:val="24"/>
          <w:szCs w:val="24"/>
        </w:rPr>
        <w:t>8</w:t>
      </w:r>
      <w:r w:rsidRPr="00057702">
        <w:rPr>
          <w:rFonts w:ascii="Times New Roman" w:hAnsi="Times New Roman" w:cs="Times New Roman"/>
          <w:sz w:val="24"/>
          <w:szCs w:val="24"/>
        </w:rPr>
        <w:t>, LM Villerbu</w:t>
      </w:r>
    </w:p>
    <w:sectPr w:rsidR="00057702" w:rsidRPr="00057702" w:rsidSect="002B1A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C02" w:rsidRDefault="00F24C02" w:rsidP="000E5641">
      <w:pPr>
        <w:spacing w:after="0" w:line="240" w:lineRule="auto"/>
      </w:pPr>
      <w:r>
        <w:separator/>
      </w:r>
    </w:p>
  </w:endnote>
  <w:endnote w:type="continuationSeparator" w:id="0">
    <w:p w:rsidR="00F24C02" w:rsidRDefault="00F24C02" w:rsidP="000E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641" w:rsidRPr="00A01D8B" w:rsidRDefault="000E5641">
    <w:pPr>
      <w:pStyle w:val="Pieddepage"/>
      <w:rPr>
        <w:rFonts w:ascii="Times New Roman" w:hAnsi="Times New Roman" w:cs="Times New Roman"/>
        <w:i/>
        <w:sz w:val="20"/>
        <w:szCs w:val="20"/>
      </w:rPr>
    </w:pPr>
    <w:r w:rsidRPr="00A01D8B">
      <w:rPr>
        <w:rFonts w:ascii="Times New Roman" w:hAnsi="Times New Roman" w:cs="Times New Roman"/>
        <w:i/>
        <w:sz w:val="20"/>
        <w:szCs w:val="20"/>
      </w:rPr>
      <w:t>(1) Centre National de Ressources Textuelles et Lexicales, http://www.cnrtl.fr/definition/harc%C3%A8lement</w:t>
    </w:r>
  </w:p>
  <w:p w:rsidR="000E5641" w:rsidRPr="00A01D8B" w:rsidRDefault="000E5641">
    <w:pPr>
      <w:pStyle w:val="Pieddepage"/>
      <w:rPr>
        <w:rFonts w:ascii="Times New Roman" w:hAnsi="Times New Roman" w:cs="Times New Roman"/>
        <w:i/>
        <w:sz w:val="20"/>
        <w:szCs w:val="20"/>
      </w:rPr>
    </w:pPr>
    <w:r w:rsidRPr="00A01D8B">
      <w:rPr>
        <w:rFonts w:ascii="Times New Roman" w:hAnsi="Times New Roman" w:cs="Times New Roman"/>
        <w:i/>
        <w:sz w:val="20"/>
        <w:szCs w:val="20"/>
      </w:rPr>
      <w:t>(2) Hélène Romano ; Harcèlement en milieu scolaire - Victimes, auteurs :</w:t>
    </w:r>
    <w:r w:rsidR="00A01D8B" w:rsidRPr="00A01D8B">
      <w:rPr>
        <w:rFonts w:ascii="Times New Roman" w:hAnsi="Times New Roman" w:cs="Times New Roman"/>
        <w:i/>
        <w:sz w:val="20"/>
        <w:szCs w:val="20"/>
      </w:rPr>
      <w:t xml:space="preserve"> </w:t>
    </w:r>
    <w:r w:rsidRPr="00A01D8B">
      <w:rPr>
        <w:rFonts w:ascii="Times New Roman" w:hAnsi="Times New Roman" w:cs="Times New Roman"/>
        <w:i/>
        <w:sz w:val="20"/>
        <w:szCs w:val="20"/>
      </w:rPr>
      <w:t>que faire ? Dunod, 2015</w:t>
    </w:r>
  </w:p>
  <w:p w:rsidR="000E5641" w:rsidRDefault="000E5641">
    <w:pPr>
      <w:pStyle w:val="Pieddepage"/>
    </w:pPr>
    <w:r w:rsidRPr="00A01D8B">
      <w:rPr>
        <w:rFonts w:ascii="Times New Roman" w:hAnsi="Times New Roman" w:cs="Times New Roman"/>
        <w:i/>
        <w:sz w:val="20"/>
        <w:szCs w:val="20"/>
      </w:rPr>
      <w:t xml:space="preserve">(3) </w:t>
    </w:r>
    <w:hyperlink r:id="rId1" w:tgtFrame="_blank" w:tooltip="Code du travail : articles L1152-1 à L1152-6 - Nouvelle fenêtre" w:history="1">
      <w:r w:rsidRPr="00A01D8B">
        <w:rPr>
          <w:rStyle w:val="Lienhypertexte"/>
          <w:rFonts w:ascii="Times New Roman" w:hAnsi="Times New Roman" w:cs="Times New Roman"/>
          <w:i/>
          <w:color w:val="auto"/>
          <w:sz w:val="20"/>
          <w:szCs w:val="20"/>
          <w:u w:val="none"/>
          <w:shd w:val="clear" w:color="auto" w:fill="FFFFFF"/>
        </w:rPr>
        <w:t>Code du travail : articles L1152-1 à L1152-6 </w:t>
      </w:r>
    </w:hyperlink>
  </w:p>
  <w:p w:rsidR="004167A4" w:rsidRPr="004167A4" w:rsidRDefault="004167A4">
    <w:pPr>
      <w:pStyle w:val="Pieddepage"/>
      <w:rPr>
        <w:rFonts w:ascii="Times New Roman" w:hAnsi="Times New Roman" w:cs="Times New Roman"/>
        <w:i/>
        <w:sz w:val="20"/>
        <w:szCs w:val="20"/>
      </w:rPr>
    </w:pPr>
    <w:r w:rsidRPr="004167A4">
      <w:rPr>
        <w:rFonts w:ascii="Times New Roman" w:hAnsi="Times New Roman" w:cs="Times New Roman"/>
        <w:i/>
        <w:sz w:val="20"/>
        <w:szCs w:val="20"/>
      </w:rPr>
      <w:t xml:space="preserve">(4) Code Pénal, Partie Législative, Livre II : Des crimes et délits contre les personnes, Titre II : Des atteintes à la personne humaine, Chapitre II : Des atteintes à l’intégrité physique ou psychique de la personne, Section 3 bis Du Harcèlement moral ; </w:t>
    </w:r>
    <w:r w:rsidRPr="004167A4">
      <w:rPr>
        <w:rFonts w:ascii="Times New Roman" w:hAnsi="Times New Roman" w:cs="Times New Roman"/>
        <w:b/>
        <w:i/>
        <w:sz w:val="20"/>
        <w:szCs w:val="20"/>
      </w:rPr>
      <w:t>Articles 222-33-2, 222-33-2-1, 222-33-2-2</w:t>
    </w:r>
    <w:r w:rsidRPr="004167A4">
      <w:rPr>
        <w:rFonts w:ascii="Times New Roman" w:hAnsi="Times New Roman" w:cs="Times New Roman"/>
        <w:i/>
        <w:sz w:val="20"/>
        <w:szCs w:val="20"/>
      </w:rPr>
      <w:t>.</w:t>
    </w:r>
  </w:p>
  <w:p w:rsidR="000E5641" w:rsidRDefault="000E5641">
    <w:pPr>
      <w:pStyle w:val="Pieddepage"/>
    </w:pPr>
  </w:p>
  <w:p w:rsidR="000E5641" w:rsidRDefault="000E56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C02" w:rsidRDefault="00F24C02" w:rsidP="000E5641">
      <w:pPr>
        <w:spacing w:after="0" w:line="240" w:lineRule="auto"/>
      </w:pPr>
      <w:r>
        <w:separator/>
      </w:r>
    </w:p>
  </w:footnote>
  <w:footnote w:type="continuationSeparator" w:id="0">
    <w:p w:rsidR="00F24C02" w:rsidRDefault="00F24C02" w:rsidP="000E5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65D3"/>
    <w:multiLevelType w:val="hybridMultilevel"/>
    <w:tmpl w:val="5E5A1FB6"/>
    <w:lvl w:ilvl="0" w:tplc="BB5C69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9EA"/>
    <w:rsid w:val="00057702"/>
    <w:rsid w:val="0009755A"/>
    <w:rsid w:val="000E5641"/>
    <w:rsid w:val="002B1A1C"/>
    <w:rsid w:val="003C1260"/>
    <w:rsid w:val="004167A4"/>
    <w:rsid w:val="00464F4E"/>
    <w:rsid w:val="00556433"/>
    <w:rsid w:val="00656DB7"/>
    <w:rsid w:val="006947A2"/>
    <w:rsid w:val="008F7BAB"/>
    <w:rsid w:val="0096663A"/>
    <w:rsid w:val="00A01D8B"/>
    <w:rsid w:val="00BB04FD"/>
    <w:rsid w:val="00C1495C"/>
    <w:rsid w:val="00C60207"/>
    <w:rsid w:val="00C959EA"/>
    <w:rsid w:val="00CE10B1"/>
    <w:rsid w:val="00D41238"/>
    <w:rsid w:val="00E75D74"/>
    <w:rsid w:val="00F24C02"/>
    <w:rsid w:val="00FA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D2B7"/>
  <w15:docId w15:val="{EFFF46A5-2FD4-422C-9072-7A9ACCC1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1A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09755A"/>
  </w:style>
  <w:style w:type="character" w:styleId="lev">
    <w:name w:val="Strong"/>
    <w:basedOn w:val="Policepardfaut"/>
    <w:uiPriority w:val="22"/>
    <w:qFormat/>
    <w:rsid w:val="0009755A"/>
    <w:rPr>
      <w:b/>
      <w:bCs/>
    </w:rPr>
  </w:style>
  <w:style w:type="paragraph" w:styleId="Paragraphedeliste">
    <w:name w:val="List Paragraph"/>
    <w:basedOn w:val="Normal"/>
    <w:uiPriority w:val="34"/>
    <w:qFormat/>
    <w:rsid w:val="00464F4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E5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E5641"/>
  </w:style>
  <w:style w:type="paragraph" w:styleId="Pieddepage">
    <w:name w:val="footer"/>
    <w:basedOn w:val="Normal"/>
    <w:link w:val="PieddepageCar"/>
    <w:uiPriority w:val="99"/>
    <w:unhideWhenUsed/>
    <w:rsid w:val="000E5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5641"/>
  </w:style>
  <w:style w:type="paragraph" w:styleId="Textedebulles">
    <w:name w:val="Balloon Text"/>
    <w:basedOn w:val="Normal"/>
    <w:link w:val="TextedebullesCar"/>
    <w:uiPriority w:val="99"/>
    <w:semiHidden/>
    <w:unhideWhenUsed/>
    <w:rsid w:val="000E5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564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0E56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france.gouv.fr/affichCode.do?idSectionTA=LEGISCTA000006177845&amp;cidTexte=LEGITEXT00000607205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644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guill_000</dc:creator>
  <cp:keywords/>
  <dc:description/>
  <cp:lastModifiedBy>CE Jeanson</cp:lastModifiedBy>
  <cp:revision>9</cp:revision>
  <dcterms:created xsi:type="dcterms:W3CDTF">2017-03-12T15:56:00Z</dcterms:created>
  <dcterms:modified xsi:type="dcterms:W3CDTF">2025-02-24T15:44:00Z</dcterms:modified>
</cp:coreProperties>
</file>